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Recent Sales Report</w:t>
      </w:r>
    </w:p>
    <w:p>
      <w:r>
        <w:t>Editable homeowner template | Version 1.1 | Last Updated October 2, 2026</w:t>
      </w:r>
    </w:p>
    <w:p>
      <w:r>
        <w:t>Requires: chosen seller offer and the Seller Resource Templates instructions. Customize every bracketed field, verify local facts and permission, and replace this header/footer with your agent and brokerage identity. Delete this paragraph before distributing.</w:t>
      </w:r>
    </w:p>
    <w:p>
      <w:r>
        <w:t>Title: Recent Home Sales in [CITY]</w:t>
        <w:br/>
        <w:t>Prepared by [AGENT NAME], [BROKERAGE]. Updated [DATE].</w:t>
        <w:br/>
        <w:t>Scope: [PROPERTY TYPE], [GEOGRAPHY], [FROM–TO], [SAMPLE SIZE]. Source [PERMITTED SOURCE], retrieved [DATE]. Use the same scope for all comparisons.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2160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4464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Value</w:t>
            </w:r>
          </w:p>
        </w:tc>
        <w:tc>
          <w:tcPr>
            <w:tcW w:type="dxa" w:w="3456"/>
            <w:vAlign w:val="center"/>
            <w:shd w:fill="222222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/>
                <w:color w:val="FFFFFF"/>
                <w:sz w:val="19"/>
              </w:rPr>
              <w:t>What it covers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Closed sales</w:t>
            </w:r>
          </w:p>
        </w:tc>
        <w:tc>
          <w:tcPr>
            <w:tcW w:type="dxa" w:w="4464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[COUNT]</w:t>
            </w:r>
          </w:p>
        </w:tc>
        <w:tc>
          <w:tcPr>
            <w:tcW w:type="dxa" w:w="345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[EXACT SCOPE]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Median closed price</w:t>
            </w:r>
          </w:p>
        </w:tc>
        <w:tc>
          <w:tcPr>
            <w:tcW w:type="dxa" w:w="4464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[VALUE]</w:t>
            </w:r>
          </w:p>
        </w:tc>
        <w:tc>
          <w:tcPr>
            <w:tcW w:type="dxa" w:w="3456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Median of the stated closed-sale sample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Typical market time if supported</w:t>
            </w:r>
          </w:p>
        </w:tc>
        <w:tc>
          <w:tcPr>
            <w:tcW w:type="dxa" w:w="4464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[VALUE / NOT AVAILABLE]</w:t>
            </w:r>
          </w:p>
        </w:tc>
        <w:tc>
          <w:tcPr>
            <w:tcW w:type="dxa" w:w="3456"/>
            <w:vAlign w:val="center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[SOURCE DEFINITION]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Prior comparable period</w:t>
            </w:r>
          </w:p>
        </w:tc>
        <w:tc>
          <w:tcPr>
            <w:tcW w:type="dxa" w:w="4464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[FROM–TO]</w:t>
            </w:r>
          </w:p>
        </w:tc>
        <w:tc>
          <w:tcPr>
            <w:tcW w:type="dxa" w:w="3456"/>
            <w:vAlign w:val="center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100" w:before="100" w:line="259" w:lineRule="auto"/>
            </w:pPr>
            <w:r>
              <w:rPr>
                <w:b w:val="0"/>
                <w:color w:val="000000"/>
                <w:sz w:val="19"/>
              </w:rPr>
              <w:t>[SAME SCOPE OR EXPLAIN CHANGE]</w:t>
            </w:r>
          </w:p>
        </w:tc>
      </w:tr>
    </w:tbl>
    <w:p/>
    <w:p>
      <w:r>
        <w:t>What this suggests: [PLAIN INTERPRETATION THE DATA ACTUALLY SUPPORT]. If the sample is small or the scope changed, explain that limitation. Do not claim a property value or certain future trend from an area median.</w:t>
        <w:br/>
        <w:t>What it does not tell you: Your home's condition, specific comparable selection, negotiated costs, and actual buyer demand for your property still need review.</w:t>
        <w:br/>
        <w:t>One practical seller action: [ACTION LINKED TO THE EVIDENCE].</w:t>
        <w:br/>
        <w:t>Want to discuss the relevant comparables for your home? [BOOKING LINK]. Contact [PHONE / EMAIL].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  <w:pBdr>
        <w:top w:val="single" w:sz="8" w:color="000000"/>
      </w:pBdr>
    </w:pPr>
    <w:r>
      <w:rPr>
        <w:sz w:val="16"/>
      </w:rPr>
      <w:t>Lead Coasters  |  Version 1.1  |  Updated 2026-10-02</w:t>
    </w:r>
    <w:r>
      <w:t xml:space="preserve">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45920" cy="24350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ead-Coasters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5920" cy="24350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Recent Sales Report</dc:title>
  <dc:subject/>
  <dc:creator>Lead Coasters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