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CRM Automation and Connection SOP</w:t>
      </w:r>
    </w:p>
    <w:p>
      <w:pPr>
        <w:pStyle w:val="Subtitle"/>
      </w:pPr>
      <w:r>
        <w:t>90-Day Seller Appointment Implementation Kit</w:t>
        <w:br/>
        <w:t>Version 1.1 | Last Updated October 2, 2026</w:t>
      </w:r>
    </w:p>
    <w:p>
      <w:r>
        <w:rPr>
          <w:b/>
        </w:rPr>
        <w:t xml:space="preserve">Purpose: </w:t>
      </w:r>
      <w:r>
        <w:t>Connect the tools and prove each event has the correct next action.</w:t>
      </w:r>
    </w:p>
    <w:p>
      <w:r>
        <w:rPr>
          <w:b/>
        </w:rPr>
        <w:t xml:space="preserve">Requires: </w:t>
      </w:r>
      <w:r>
        <w:t>Software Functions and System Setup: chosen tools and field map; Seller Resource Templates: resource hosted; Steps 4–5: qualification, follow-up, booking and confirmation rules drafted; Seller Campaign Compliance Checklist: contact review</w:t>
      </w:r>
    </w:p>
    <w:p>
      <w:r>
        <w:rPr>
          <w:b/>
        </w:rPr>
        <w:t xml:space="preserve">When to use: </w:t>
      </w:r>
      <w:r>
        <w:t>Before final Meta setup and launch</w:t>
      </w:r>
    </w:p>
    <w:p>
      <w:r>
        <w:rPr>
          <w:b/>
        </w:rPr>
        <w:t xml:space="preserve">Estimated time: </w:t>
      </w:r>
      <w:r>
        <w:t>2–4 hours</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Build the workflow in your chosen tool</w:t>
      </w:r>
    </w:p>
    <w:p>
      <w:r>
        <w:t>Use the native automation builder when it supplies the required triggers, conditions, delays, and exits. Otherwise use a tested connector; if automation is unavailable, use the manual procedure below. These rules define the behavior regardless of vendor menus.</w:t>
      </w:r>
    </w:p>
    <w:p>
      <w:pPr>
        <w:pStyle w:val="Heading1"/>
      </w:pPr>
      <w:r>
        <w:t>Workflow A Accepted resource request</w:t>
      </w:r>
    </w:p>
    <w:p>
      <w:r>
        <w:t>Trigger: form provider confirms a valid accepted submission.</w:t>
      </w:r>
    </w:p>
    <w:p>
      <w:pPr>
        <w:pStyle w:val="ListNumber"/>
      </w:pPr>
      <w:r>
        <w:t>Read a unique submission/event ID and stable source tags. Match the CRM contact and seller/property opportunity; create or update without overwriting suppression or the earliest source.</w:t>
      </w:r>
    </w:p>
    <w:p>
      <w:pPr>
        <w:pStyle w:val="ListNumber"/>
      </w:pPr>
      <w:r>
        <w:t>Save submitted permissions and their wording/version. Reject invalid required fields before success. If saving fails, display or send a recoverable error and alert the owner.</w:t>
      </w:r>
    </w:p>
    <w:p>
      <w:pPr>
        <w:pStyle w:val="ListNumber"/>
      </w:pPr>
      <w:r>
        <w:t>Send the requested resource or acknowledge the real report turnaround. Display the immediate download independently of marketing opt-in.</w:t>
      </w:r>
    </w:p>
    <w:p>
      <w:pPr>
        <w:pStyle w:val="ListNumber"/>
      </w:pPr>
      <w:r>
        <w:t>Create an owner task to review seller intent and missing qualification details. Notify the owner and backup through the approved route.</w:t>
      </w:r>
    </w:p>
    <w:p>
      <w:pPr>
        <w:pStyle w:val="ListNumber"/>
      </w:pPr>
      <w:r>
        <w:t>Enroll in nurture only if the actual contact choice and applicable rules permit it. Select the timeline branch. Keep delivered resource, marketing permission, and qualification status separate.</w:t>
      </w:r>
    </w:p>
    <w:p>
      <w:pPr>
        <w:pStyle w:val="ListNumber"/>
      </w:pPr>
      <w:r>
        <w:t>Send the logical lead tracking event only after successful acceptance and according to permitted tracking choices. Verify browser/server deduplication if both are used.</w:t>
      </w:r>
    </w:p>
    <w:p>
      <w:pPr>
        <w:pStyle w:val="Heading1"/>
      </w:pPr>
      <w:r>
        <w:t>Workflow B Qualification and replies</w:t>
      </w:r>
    </w:p>
    <w:p>
      <w:r>
        <w:t>Trigger: qualification answers saved or a human confirms missing facts.</w:t>
        <w:br/>
        <w:t>Apply Seller Qualification Form's criteria. Store qualified timestamp once; retain the reason and any later change. Ready sellers requesting a conversation receive the calendar. Later sellers get a next task and the permitted nurture path.</w:t>
        <w:br/>
        <w:t>Trigger: inbound reply. Pause promotional automation, assign a human reply task, and update the record after the conversation. Never depend on an email open as proof of readiness or receipt.</w:t>
        <w:br/>
        <w:t>Trigger: opt-out or decline. Apply the relevant channel suppression immediately, cancel pending affected jobs, preserve the record, and prevent automatic reenrollment. Escalate unclear scope for review without sending more promotion.</w:t>
      </w:r>
    </w:p>
    <w:p>
      <w:pPr>
        <w:pStyle w:val="Heading1"/>
      </w:pPr>
      <w:r>
        <w:t>Workflow C Booking and reminders</w:t>
      </w:r>
    </w:p>
    <w:p>
      <w:r>
        <w:t>Trigger: confirmed calendar event with appointment ID and opportunity ID.</w:t>
        <w:br/>
        <w:t>Verify qualification or route to a human. Store first-booked date if blank. Stop nurture and create the current appointment attempt. Send Appointment Confirmation and Reminder Pack confirmation and schedule the two future reminders; skip elapsed times.</w:t>
        <w:br/>
        <w:t>Before each reminder: reread appointment ID, current scheduled time, status, permissions, and timezone. Send only if still valid. On reschedule, mark the previous attempt Rescheduled, cancel its jobs, and create the new attempt using the same opportunity ID. On cancel, stop old jobs and mark Cancelled. No new unique booking count.</w:t>
      </w:r>
    </w:p>
    <w:p>
      <w:pPr>
        <w:pStyle w:val="Heading1"/>
      </w:pPr>
      <w:r>
        <w:t>Workflow D Appointment outcome</w:t>
      </w:r>
    </w:p>
    <w:p>
      <w:r>
        <w:t>After scheduled time, create an agent task to mark Held, No-show, Cancelled, or Rescheduled. Keep Pending until known. Held requires actual substantive seller conversation; write first-held date once. No-show starts Appointment Confirmation and Reminder Pack recovery. A signed listing writes its own date. Closing and actual GCI are recorded when known, not projected at signing.</w:t>
      </w:r>
    </w:p>
    <w:p>
      <w:pPr>
        <w:pStyle w:val="Heading1"/>
      </w:pPr>
      <w:r>
        <w:t>Manual fallback</w:t>
      </w:r>
    </w:p>
    <w:p>
      <w:r>
        <w:t>Export accepted form submissions securely each business day. Match them to the CRM by stable ID and seller/property. Send the requested resource; assign a qualification task and reply manually through permitted channels. On agreed booking create the calendar invite, confirmation, and reminders; use the appointment log. During an outage, pause paid delivery if you cannot reliably accept and handle new inquiries. Recover only affected unsent actions; do not bulk resend completed jobs or suppressed marketing.</w:t>
      </w:r>
    </w:p>
    <w:p>
      <w:pPr>
        <w:pStyle w:val="Heading1"/>
      </w:pPr>
      <w:r>
        <w:t>Error and retry handling</w:t>
      </w:r>
    </w:p>
    <w:p>
      <w:r>
        <w:t>Store event ID, result, timestamp, and error message. Retry by the same ID so a repeated event does not send duplicate messages. Alert owner on failed record creation, delivery, calendar update, or reminder cancellation. Compare the provider's accepted form count with CRM deduplicated records each day; explain legitimate duplicates and spam/test exclusions. A webhook response alone does not prove the full journey worked.</w:t>
      </w:r>
    </w:p>
    <w:p>
      <w:pPr>
        <w:pStyle w:val="Heading1"/>
      </w:pPr>
      <w:r>
        <w:t>End-to-end test log</w:t>
      </w:r>
    </w:p>
    <w:tbl>
      <w:tblPr>
        <w:tblW w:type="auto" w:w="0"/>
        <w:jc w:val="center"/>
        <w:tblLayout w:type="fixed"/>
        <w:tblLook w:firstColumn="1" w:firstRow="1" w:lastColumn="0" w:lastRow="0" w:noHBand="0" w:noVBand="1" w:val="04A0"/>
      </w:tblPr>
      <w:tblGrid>
        <w:gridCol w:w="3360"/>
        <w:gridCol w:w="3360"/>
        <w:gridCol w:w="3360"/>
      </w:tblGrid>
      <w:tr>
        <w:trPr>
          <w:cantSplit/>
          <w:tblHeader/>
        </w:trPr>
        <w:tc>
          <w:tcPr>
            <w:tcW w:type="dxa" w:w="2160"/>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Test</w:t>
            </w:r>
          </w:p>
        </w:tc>
        <w:tc>
          <w:tcPr>
            <w:tcW w:type="dxa" w:w="4464"/>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Expected behavior</w:t>
            </w:r>
          </w:p>
        </w:tc>
        <w:tc>
          <w:tcPr>
            <w:tcW w:type="dxa" w:w="3456"/>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Evidence to record</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Valid generic request</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One CRM opportunity; resource; owner task</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IDs, timestamps, received email</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Invalid email or missing required field</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No successful submit/lead event</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Error view and event check</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Double click or event retry</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One logical opportunity and delivery action</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Same ID, no duplicate send</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No optional marketing permission</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Requested resource; no marketing enrollment</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Permission fields and job list</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Ready qualified seller</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Qualified timestamp; calendar path</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Answers and routing</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Unknown/out-of-area/represented seller</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Appropriate pending or human-review path</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Status and task</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Reply</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Promotion paused; human task</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Reply and stopped jobs</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Marketing opt-out</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Suppression; pending affected sends cancelled</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Opt-out and job state</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Book</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First-booked date; confirmation and valid jobs</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Appointment ID and messages</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Last-minute book</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Skip past reminder time</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Correct remaining jobs</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Reschedule</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Old attempt/jobs stopped; same opportunity</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Old/new IDs and job state</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Cancel</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No future old reminders</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Status and cancelled jobs</w:t>
            </w:r>
          </w:p>
        </w:tc>
      </w:tr>
      <w:tr>
        <w:trPr>
          <w:cantSplit/>
        </w:trPr>
        <w:tc>
          <w:tcPr>
            <w:tcW w:type="dxa" w:w="2160"/>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Held vs no-show</w:t>
            </w:r>
          </w:p>
        </w:tc>
        <w:tc>
          <w:tcPr>
            <w:tcW w:type="dxa" w:w="446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Correct outcome and first-held rule</w:t>
            </w:r>
          </w:p>
        </w:tc>
        <w:tc>
          <w:tcPr>
            <w:tcW w:type="dxa" w:w="345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Agent note and tracker dates</w:t>
            </w:r>
          </w:p>
        </w:tc>
      </w:tr>
      <w:tr>
        <w:trPr>
          <w:cantSplit/>
        </w:trPr>
        <w:tc>
          <w:tcPr>
            <w:tcW w:type="dxa" w:w="2160"/>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Connection failure</w:t>
            </w:r>
          </w:p>
        </w:tc>
        <w:tc>
          <w:tcPr>
            <w:tcW w:type="dxa" w:w="446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Visible error; safe manual recovery</w:t>
            </w:r>
          </w:p>
        </w:tc>
        <w:tc>
          <w:tcPr>
            <w:tcW w:type="dxa" w:w="345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Alert, retry, no duplicates</w:t>
            </w:r>
          </w:p>
        </w:tc>
      </w:tr>
    </w:tbl>
    <w:p/>
    <w:p>
      <w:r>
        <w:t>Use your own test contact details and mark all test records excluded. Never use real homeowner data in public screenshots or recording examples.</w:t>
      </w:r>
    </w:p>
    <w:p>
      <w:pPr>
        <w:pStyle w:val="Heading1"/>
      </w:pPr>
      <w:r>
        <w:t>You are done when</w:t>
      </w:r>
    </w:p>
    <w:p>
      <w:r>
        <w:t>All test cases pass with one logical record, correct messages, correct task owner, and visible error handling.</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CRM Automation and Connection SOP</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